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B33A" w14:textId="30C0398C" w:rsidR="006B4DA2" w:rsidRPr="006B4DA2" w:rsidRDefault="006B4DA2">
      <w:pPr>
        <w:pStyle w:val="Standard"/>
        <w:jc w:val="center"/>
        <w:rPr>
          <w:rFonts w:ascii="Times New Roman" w:hAnsi="Times New Roman"/>
          <w:b/>
          <w:bCs/>
          <w:lang w:val="it-IT"/>
        </w:rPr>
      </w:pPr>
      <w:r w:rsidRPr="006B4DA2">
        <w:rPr>
          <w:rFonts w:ascii="Times New Roman" w:hAnsi="Times New Roman"/>
          <w:b/>
          <w:bCs/>
          <w:lang w:val="it-IT"/>
        </w:rPr>
        <w:t xml:space="preserve">Casi studio nella libera </w:t>
      </w:r>
      <w:proofErr w:type="spellStart"/>
      <w:r w:rsidRPr="006B4DA2">
        <w:rPr>
          <w:rFonts w:ascii="Times New Roman" w:hAnsi="Times New Roman"/>
          <w:b/>
          <w:bCs/>
          <w:lang w:val="it-IT"/>
        </w:rPr>
        <w:t>professione</w:t>
      </w:r>
      <w:proofErr w:type="spellEnd"/>
      <w:r w:rsidRPr="006B4DA2">
        <w:rPr>
          <w:rFonts w:ascii="Times New Roman" w:hAnsi="Times New Roman"/>
          <w:b/>
          <w:bCs/>
          <w:lang w:val="it-IT"/>
        </w:rPr>
        <w:t xml:space="preserve"> e </w:t>
      </w:r>
      <w:proofErr w:type="spellStart"/>
      <w:r w:rsidRPr="006B4DA2">
        <w:rPr>
          <w:rFonts w:ascii="Times New Roman" w:hAnsi="Times New Roman"/>
          <w:b/>
          <w:bCs/>
          <w:lang w:val="it-IT"/>
        </w:rPr>
        <w:t>supporto</w:t>
      </w:r>
      <w:proofErr w:type="spellEnd"/>
      <w:r w:rsidRPr="006B4DA2">
        <w:rPr>
          <w:rFonts w:ascii="Times New Roman" w:hAnsi="Times New Roman"/>
          <w:b/>
          <w:bCs/>
          <w:lang w:val="it-IT"/>
        </w:rPr>
        <w:t xml:space="preserve"> per affrontare l'Esame di Stato</w:t>
      </w:r>
    </w:p>
    <w:p w14:paraId="1AFCF7DE" w14:textId="2F4FB2AF" w:rsidR="00FA1C10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lang w:val="it-IT"/>
        </w:rPr>
        <w:t>3 CFU</w:t>
      </w:r>
    </w:p>
    <w:p w14:paraId="75BDCE05" w14:textId="77777777" w:rsidR="00FA1C10" w:rsidRDefault="00FA1C10">
      <w:pPr>
        <w:pStyle w:val="Standard"/>
        <w:jc w:val="both"/>
        <w:rPr>
          <w:rFonts w:hint="eastAsia"/>
          <w:lang w:val="it-IT"/>
        </w:rPr>
      </w:pPr>
    </w:p>
    <w:p w14:paraId="0D9595DF" w14:textId="77777777" w:rsidR="00FA1C10" w:rsidRDefault="00000000">
      <w:pPr>
        <w:pStyle w:val="Standard"/>
        <w:jc w:val="both"/>
        <w:rPr>
          <w:rFonts w:hint="eastAsia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Breve descrizione dell’insegnamento</w:t>
      </w:r>
    </w:p>
    <w:p w14:paraId="3EA34FD2" w14:textId="77777777" w:rsidR="00FA1C10" w:rsidRDefault="00000000">
      <w:pPr>
        <w:pStyle w:val="Standard"/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 xml:space="preserve">L’insegnamento strutturato su </w:t>
      </w:r>
      <w:proofErr w:type="gramStart"/>
      <w:r>
        <w:rPr>
          <w:rFonts w:ascii="Times New Roman" w:hAnsi="Times New Roman"/>
          <w:lang w:val="it-IT"/>
        </w:rPr>
        <w:t>3</w:t>
      </w:r>
      <w:proofErr w:type="gramEnd"/>
      <w:r>
        <w:rPr>
          <w:rFonts w:ascii="Times New Roman" w:hAnsi="Times New Roman"/>
          <w:lang w:val="it-IT"/>
        </w:rPr>
        <w:t xml:space="preserve"> CFU è orientato alla formazione, sia per l’esame di stato e sia per la libera professione, economico ed estimativo, con i necessari riferimenti giuridici di base. </w:t>
      </w:r>
    </w:p>
    <w:p w14:paraId="1A3A13E4" w14:textId="77777777" w:rsidR="00FA1C10" w:rsidRDefault="00000000">
      <w:pPr>
        <w:pStyle w:val="Standard"/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 xml:space="preserve">Le lezioni sono strutturate con una introduzione teorica seguita da casi pratici realmente verificatisi e di attualità. </w:t>
      </w:r>
    </w:p>
    <w:p w14:paraId="4119DB2F" w14:textId="77777777" w:rsidR="00FA1C10" w:rsidRDefault="00000000">
      <w:pPr>
        <w:pStyle w:val="Standard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 seguire il contenuto dell’insegnamento suddiviso in moduli didattici.</w:t>
      </w:r>
    </w:p>
    <w:p w14:paraId="17FA6D3F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7D3DD530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48288155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u w:val="single"/>
          <w:lang w:val="it-IT"/>
        </w:rPr>
        <w:t xml:space="preserve">1. MODULO ESTIMATIVO </w:t>
      </w:r>
    </w:p>
    <w:p w14:paraId="54F66D20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01.1 Progettazione tecnico-economica di strutture zootecniche</w:t>
      </w:r>
    </w:p>
    <w:p w14:paraId="0CC536E6" w14:textId="77777777" w:rsidR="00FA1C10" w:rsidRDefault="00000000">
      <w:pPr>
        <w:pStyle w:val="Standard"/>
        <w:numPr>
          <w:ilvl w:val="0"/>
          <w:numId w:val="1"/>
        </w:numPr>
        <w:tabs>
          <w:tab w:val="left" w:pos="1209"/>
        </w:tabs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Determinazione della composizione media di una stalla: bovini da carne a ciclo chiuso</w:t>
      </w:r>
    </w:p>
    <w:p w14:paraId="04D7D9F8" w14:textId="77777777" w:rsidR="00FA1C10" w:rsidRDefault="00000000">
      <w:pPr>
        <w:pStyle w:val="Standard"/>
        <w:numPr>
          <w:ilvl w:val="0"/>
          <w:numId w:val="1"/>
        </w:numPr>
        <w:tabs>
          <w:tab w:val="left" w:pos="1209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  <w:lang w:val="it-IT"/>
        </w:rPr>
        <w:t>Determinazione del volume delle vendite</w:t>
      </w:r>
    </w:p>
    <w:p w14:paraId="67D1AC59" w14:textId="77777777" w:rsidR="00FA1C10" w:rsidRDefault="00000000">
      <w:pPr>
        <w:pStyle w:val="Standard"/>
        <w:numPr>
          <w:ilvl w:val="0"/>
          <w:numId w:val="1"/>
        </w:numPr>
        <w:tabs>
          <w:tab w:val="left" w:pos="1209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  <w:lang w:val="it-IT"/>
        </w:rPr>
        <w:t>Determinazione dei fabbisogni aziendali in alimenti e lettimi</w:t>
      </w:r>
    </w:p>
    <w:p w14:paraId="71CDC771" w14:textId="77777777" w:rsidR="00FA1C10" w:rsidRDefault="00000000">
      <w:pPr>
        <w:pStyle w:val="Standard"/>
        <w:numPr>
          <w:ilvl w:val="0"/>
          <w:numId w:val="1"/>
        </w:numPr>
        <w:tabs>
          <w:tab w:val="left" w:pos="1209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  <w:lang w:val="it-IT"/>
        </w:rPr>
        <w:t>Determinazione del fabbisogno in terreni</w:t>
      </w:r>
    </w:p>
    <w:p w14:paraId="7E693694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255FC7A0" w14:textId="77777777" w:rsidR="00FA1C10" w:rsidRDefault="00000000">
      <w:pPr>
        <w:pStyle w:val="Standard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lang w:val="it-IT"/>
        </w:rPr>
        <w:t>01.2 Il dimensionamento dei fabbricati aziendali</w:t>
      </w:r>
    </w:p>
    <w:p w14:paraId="667A0257" w14:textId="77777777" w:rsidR="00FA1C10" w:rsidRDefault="00000000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Dimensionamento di una stalla per bovini da carne a ciclo chiuso</w:t>
      </w:r>
    </w:p>
    <w:p w14:paraId="71B8ACCD" w14:textId="77777777" w:rsidR="00FA1C10" w:rsidRDefault="00000000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Dimensionamento di un fienile aziendale</w:t>
      </w:r>
    </w:p>
    <w:p w14:paraId="54CA3593" w14:textId="77777777" w:rsidR="00FA1C10" w:rsidRDefault="00000000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 xml:space="preserve">Dimensionamento dei silos orizzontali </w:t>
      </w:r>
    </w:p>
    <w:p w14:paraId="6C76210A" w14:textId="77777777" w:rsidR="00FA1C10" w:rsidRDefault="00000000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 xml:space="preserve">Dimensionamento della </w:t>
      </w:r>
      <w:proofErr w:type="spellStart"/>
      <w:r>
        <w:rPr>
          <w:rFonts w:ascii="Times New Roman" w:hAnsi="Times New Roman"/>
          <w:lang w:val="it-IT"/>
        </w:rPr>
        <w:t>letamaia</w:t>
      </w:r>
      <w:proofErr w:type="spellEnd"/>
    </w:p>
    <w:p w14:paraId="0ADE7845" w14:textId="77777777" w:rsidR="00FA1C10" w:rsidRDefault="00000000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 xml:space="preserve">Dimensionamento della </w:t>
      </w:r>
      <w:proofErr w:type="spellStart"/>
      <w:r>
        <w:rPr>
          <w:rFonts w:ascii="Times New Roman" w:hAnsi="Times New Roman"/>
          <w:lang w:val="it-IT"/>
        </w:rPr>
        <w:t>liquamaia</w:t>
      </w:r>
      <w:proofErr w:type="spellEnd"/>
    </w:p>
    <w:p w14:paraId="13B8974E" w14:textId="77777777" w:rsidR="00FA1C10" w:rsidRDefault="00000000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Dimensionamento della rimessa attrezzi</w:t>
      </w:r>
    </w:p>
    <w:p w14:paraId="2B915392" w14:textId="77777777" w:rsidR="00FA1C10" w:rsidRDefault="00000000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Dimensionamento di un locale trasformazione: il caso delle carni bovine</w:t>
      </w:r>
    </w:p>
    <w:p w14:paraId="013FBF6A" w14:textId="77777777" w:rsidR="00FA1C10" w:rsidRDefault="00000000">
      <w:pPr>
        <w:pStyle w:val="Standard"/>
        <w:numPr>
          <w:ilvl w:val="0"/>
          <w:numId w:val="2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Verifica dei parametri urbanistici</w:t>
      </w:r>
    </w:p>
    <w:p w14:paraId="059F01E7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4018BDD5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01.3 Come redigere una perizia estimativa con riferimento a casi specifici</w:t>
      </w:r>
    </w:p>
    <w:p w14:paraId="10375B3A" w14:textId="77777777" w:rsidR="00FA1C10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Principi generali</w:t>
      </w:r>
    </w:p>
    <w:p w14:paraId="36B37CD7" w14:textId="77777777" w:rsidR="00FA1C10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Determinazione del valore di un fondo rustico affittato</w:t>
      </w:r>
    </w:p>
    <w:p w14:paraId="1EC9037F" w14:textId="77777777" w:rsidR="00FA1C10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Determinazione del valore dell’usufrutto e della nuda proprietà</w:t>
      </w:r>
    </w:p>
    <w:p w14:paraId="2097EC3D" w14:textId="77777777" w:rsidR="00FA1C10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Determinazione del valore di una azienda ai fini divisori</w:t>
      </w:r>
    </w:p>
    <w:p w14:paraId="7F4EB679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09BB49C1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71092616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u w:val="single"/>
          <w:lang w:val="it-IT"/>
        </w:rPr>
      </w:pPr>
      <w:r>
        <w:rPr>
          <w:rFonts w:ascii="Times New Roman" w:hAnsi="Times New Roman"/>
          <w:b/>
          <w:bCs/>
          <w:u w:val="single"/>
          <w:lang w:val="it-IT"/>
        </w:rPr>
        <w:t xml:space="preserve">2. LE STIME DANNI </w:t>
      </w:r>
    </w:p>
    <w:p w14:paraId="070703F2" w14:textId="77777777" w:rsidR="00FA1C10" w:rsidRDefault="00000000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Principi generali e riferimenti normativi</w:t>
      </w:r>
    </w:p>
    <w:p w14:paraId="332F083F" w14:textId="77777777" w:rsidR="00FA1C10" w:rsidRDefault="00000000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  <w:lang w:val="it-IT"/>
        </w:rPr>
        <w:t>Casi pratici:</w:t>
      </w:r>
    </w:p>
    <w:p w14:paraId="2E5C2E9B" w14:textId="77777777" w:rsidR="00FA1C10" w:rsidRDefault="00000000">
      <w:pPr>
        <w:pStyle w:val="Standard"/>
        <w:numPr>
          <w:ilvl w:val="1"/>
          <w:numId w:val="4"/>
        </w:numPr>
        <w:ind w:left="1020" w:hanging="227"/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Danni su azienda vitivinicola;</w:t>
      </w:r>
    </w:p>
    <w:p w14:paraId="2174C25B" w14:textId="77777777" w:rsidR="00FA1C10" w:rsidRDefault="00000000">
      <w:pPr>
        <w:pStyle w:val="Standard"/>
        <w:numPr>
          <w:ilvl w:val="1"/>
          <w:numId w:val="4"/>
        </w:numPr>
        <w:ind w:left="1020" w:hanging="227"/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Danni su frutteto misto con vendita a dettaglianti e privati;</w:t>
      </w:r>
    </w:p>
    <w:p w14:paraId="1750F2EE" w14:textId="77777777" w:rsidR="00FA1C10" w:rsidRDefault="00000000">
      <w:pPr>
        <w:pStyle w:val="Standard"/>
        <w:numPr>
          <w:ilvl w:val="1"/>
          <w:numId w:val="4"/>
        </w:numPr>
        <w:ind w:left="1020" w:hanging="227"/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Danni su orticole;</w:t>
      </w:r>
    </w:p>
    <w:p w14:paraId="17844E15" w14:textId="77777777" w:rsidR="00FA1C10" w:rsidRDefault="00000000">
      <w:pPr>
        <w:pStyle w:val="Standard"/>
        <w:numPr>
          <w:ilvl w:val="1"/>
          <w:numId w:val="4"/>
        </w:numPr>
        <w:ind w:left="1020" w:hanging="227"/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Danni su gregge di pecore da latte;</w:t>
      </w:r>
    </w:p>
    <w:p w14:paraId="49B44941" w14:textId="77777777" w:rsidR="00FA1C10" w:rsidRDefault="00000000">
      <w:pPr>
        <w:pStyle w:val="Standard"/>
        <w:numPr>
          <w:ilvl w:val="1"/>
          <w:numId w:val="4"/>
        </w:numPr>
        <w:ind w:left="1020" w:hanging="227"/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Danni da esproprio e occupazione;</w:t>
      </w:r>
    </w:p>
    <w:p w14:paraId="246B2359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3D37D3EA" w14:textId="77777777" w:rsidR="00FA1C10" w:rsidRDefault="00000000">
      <w:pPr>
        <w:pStyle w:val="Standard"/>
        <w:keepNext/>
        <w:widowControl w:val="0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u w:val="single"/>
          <w:lang w:val="it-IT"/>
        </w:rPr>
        <w:t>3. MODULO GIURIDICO</w:t>
      </w:r>
    </w:p>
    <w:p w14:paraId="21C995E5" w14:textId="77777777" w:rsidR="00FA1C10" w:rsidRDefault="00000000">
      <w:pPr>
        <w:pStyle w:val="Standard"/>
        <w:widowControl w:val="0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Imprenditore Agricolo – IAP – Coltivatore Diretto – Società agricole</w:t>
      </w:r>
    </w:p>
    <w:p w14:paraId="4D883C85" w14:textId="77777777" w:rsidR="00FA1C10" w:rsidRDefault="00000000">
      <w:pPr>
        <w:pStyle w:val="Standard"/>
        <w:numPr>
          <w:ilvl w:val="0"/>
          <w:numId w:val="5"/>
        </w:numPr>
        <w:tabs>
          <w:tab w:val="left" w:pos="1245"/>
        </w:tabs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Riferimenti normativi</w:t>
      </w:r>
    </w:p>
    <w:p w14:paraId="7E869B58" w14:textId="77777777" w:rsidR="00FA1C10" w:rsidRDefault="00000000">
      <w:pPr>
        <w:pStyle w:val="Standard"/>
        <w:numPr>
          <w:ilvl w:val="0"/>
          <w:numId w:val="5"/>
        </w:numPr>
        <w:tabs>
          <w:tab w:val="left" w:pos="1245"/>
        </w:tabs>
        <w:jc w:val="both"/>
        <w:rPr>
          <w:rFonts w:hint="eastAsia"/>
        </w:rPr>
      </w:pPr>
      <w:r>
        <w:rPr>
          <w:rFonts w:ascii="Times New Roman" w:hAnsi="Times New Roman"/>
          <w:lang w:val="it-IT"/>
        </w:rPr>
        <w:lastRenderedPageBreak/>
        <w:t>Le attività agricole connesse</w:t>
      </w:r>
    </w:p>
    <w:p w14:paraId="0D0287CB" w14:textId="77777777" w:rsidR="00FA1C10" w:rsidRDefault="00000000">
      <w:pPr>
        <w:pStyle w:val="Standard"/>
        <w:numPr>
          <w:ilvl w:val="0"/>
          <w:numId w:val="5"/>
        </w:numPr>
        <w:tabs>
          <w:tab w:val="left" w:pos="1245"/>
        </w:tabs>
        <w:jc w:val="both"/>
        <w:rPr>
          <w:rFonts w:hint="eastAsia"/>
        </w:rPr>
      </w:pPr>
      <w:r>
        <w:rPr>
          <w:rFonts w:ascii="Times New Roman" w:hAnsi="Times New Roman"/>
          <w:lang w:val="it-IT"/>
        </w:rPr>
        <w:t>Casi pratici</w:t>
      </w:r>
    </w:p>
    <w:p w14:paraId="35201DC9" w14:textId="77777777" w:rsidR="00FA1C10" w:rsidRDefault="00FA1C10">
      <w:pPr>
        <w:pStyle w:val="Standard"/>
        <w:ind w:left="737"/>
        <w:jc w:val="both"/>
        <w:rPr>
          <w:rFonts w:ascii="Times New Roman" w:hAnsi="Times New Roman"/>
          <w:b/>
          <w:bCs/>
          <w:lang w:val="it-IT"/>
        </w:rPr>
      </w:pPr>
    </w:p>
    <w:p w14:paraId="2C2373D9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I contratti di Affitto</w:t>
      </w:r>
    </w:p>
    <w:p w14:paraId="67201EC7" w14:textId="77777777" w:rsidR="00FA1C10" w:rsidRDefault="00000000">
      <w:pPr>
        <w:pStyle w:val="Standard"/>
        <w:numPr>
          <w:ilvl w:val="0"/>
          <w:numId w:val="6"/>
        </w:numPr>
        <w:tabs>
          <w:tab w:val="left" w:pos="396"/>
        </w:tabs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Riferimenti normativi (Legge 203/82)</w:t>
      </w:r>
    </w:p>
    <w:p w14:paraId="5649950E" w14:textId="77777777" w:rsidR="00FA1C10" w:rsidRDefault="00000000">
      <w:pPr>
        <w:pStyle w:val="Standard"/>
        <w:numPr>
          <w:ilvl w:val="0"/>
          <w:numId w:val="6"/>
        </w:numPr>
        <w:tabs>
          <w:tab w:val="left" w:pos="396"/>
        </w:tabs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Esempi (modelli) di contratti agrari</w:t>
      </w:r>
    </w:p>
    <w:p w14:paraId="5FE80EFA" w14:textId="77777777" w:rsidR="00FA1C10" w:rsidRDefault="00FA1C10">
      <w:pPr>
        <w:pStyle w:val="Standard"/>
        <w:ind w:left="737"/>
        <w:jc w:val="both"/>
        <w:rPr>
          <w:rFonts w:ascii="Times New Roman" w:hAnsi="Times New Roman"/>
          <w:b/>
          <w:bCs/>
          <w:lang w:val="it-IT"/>
        </w:rPr>
      </w:pPr>
    </w:p>
    <w:p w14:paraId="6493854E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La Prelazione Agraria</w:t>
      </w:r>
    </w:p>
    <w:p w14:paraId="0A6DDE2D" w14:textId="77777777" w:rsidR="00FA1C10" w:rsidRDefault="00000000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lang w:val="it-IT"/>
        </w:rPr>
        <w:t>La prelazione agraria dell’affittuario (legge 590/65 artt. 8 – 14 - 31)</w:t>
      </w:r>
    </w:p>
    <w:p w14:paraId="33F119D9" w14:textId="77777777" w:rsidR="00FA1C10" w:rsidRDefault="00000000">
      <w:pPr>
        <w:pStyle w:val="Standard"/>
        <w:numPr>
          <w:ilvl w:val="0"/>
          <w:numId w:val="7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La prelazione agraria del confinante (legge 817/71 art. 7)</w:t>
      </w:r>
    </w:p>
    <w:p w14:paraId="437967D5" w14:textId="77777777" w:rsidR="00FA1C10" w:rsidRDefault="00000000">
      <w:pPr>
        <w:pStyle w:val="Standard"/>
        <w:numPr>
          <w:ilvl w:val="0"/>
          <w:numId w:val="7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La prelazione dei coeredi (legge 97/1994 e D. Lgs 228/2001 art. 8)</w:t>
      </w:r>
    </w:p>
    <w:p w14:paraId="23913397" w14:textId="77777777" w:rsidR="00FA1C10" w:rsidRDefault="00000000">
      <w:pPr>
        <w:pStyle w:val="Standard"/>
        <w:numPr>
          <w:ilvl w:val="0"/>
          <w:numId w:val="7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La prelazione di più confinanti (D. Lgs 228/2001 art. 7)</w:t>
      </w:r>
    </w:p>
    <w:p w14:paraId="14750033" w14:textId="77777777" w:rsidR="00FA1C10" w:rsidRDefault="00000000">
      <w:pPr>
        <w:pStyle w:val="Standard"/>
        <w:numPr>
          <w:ilvl w:val="0"/>
          <w:numId w:val="7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La prelazione agraria delle società (D. Lgs 99/04 art. 2 comma 3 – L. 116/2014 art. 7 ter)</w:t>
      </w:r>
    </w:p>
    <w:p w14:paraId="67955DEC" w14:textId="77777777" w:rsidR="00FA1C10" w:rsidRDefault="00000000">
      <w:pPr>
        <w:pStyle w:val="Standard"/>
        <w:numPr>
          <w:ilvl w:val="0"/>
          <w:numId w:val="7"/>
        </w:numPr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La prelazione agraria dello IAP (L. 154/2016 art. 1, comma 3)</w:t>
      </w:r>
    </w:p>
    <w:p w14:paraId="684105D1" w14:textId="77777777" w:rsidR="00FA1C10" w:rsidRDefault="00000000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lang w:val="it-IT"/>
        </w:rPr>
        <w:t>Casi pratici di prelazione agraria</w:t>
      </w:r>
    </w:p>
    <w:p w14:paraId="21891006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22387BA4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La Compravendita dei fondi rustici: norme agevolative</w:t>
      </w:r>
    </w:p>
    <w:p w14:paraId="6BEC04AA" w14:textId="77777777" w:rsidR="00FA1C10" w:rsidRDefault="00000000">
      <w:pPr>
        <w:pStyle w:val="Standard"/>
        <w:numPr>
          <w:ilvl w:val="0"/>
          <w:numId w:val="8"/>
        </w:numPr>
        <w:tabs>
          <w:tab w:val="left" w:pos="1245"/>
        </w:tabs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Le Agevolazioni all’acquisto</w:t>
      </w:r>
    </w:p>
    <w:p w14:paraId="587BCF8A" w14:textId="77777777" w:rsidR="00FA1C10" w:rsidRDefault="00000000">
      <w:pPr>
        <w:pStyle w:val="Standard"/>
        <w:numPr>
          <w:ilvl w:val="0"/>
          <w:numId w:val="8"/>
        </w:numPr>
        <w:tabs>
          <w:tab w:val="left" w:pos="1245"/>
        </w:tabs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Il Conferimento in società (di terreni o di azienda)</w:t>
      </w:r>
    </w:p>
    <w:p w14:paraId="20D5BC9F" w14:textId="77777777" w:rsidR="00FA1C10" w:rsidRDefault="00000000">
      <w:pPr>
        <w:pStyle w:val="Standard"/>
        <w:numPr>
          <w:ilvl w:val="0"/>
          <w:numId w:val="8"/>
        </w:numPr>
        <w:tabs>
          <w:tab w:val="left" w:pos="1245"/>
        </w:tabs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L’Usucapione</w:t>
      </w:r>
    </w:p>
    <w:p w14:paraId="42B1F149" w14:textId="77777777" w:rsidR="00FA1C10" w:rsidRDefault="00000000">
      <w:pPr>
        <w:pStyle w:val="Standard"/>
        <w:numPr>
          <w:ilvl w:val="0"/>
          <w:numId w:val="8"/>
        </w:numPr>
        <w:tabs>
          <w:tab w:val="left" w:pos="1245"/>
        </w:tabs>
        <w:jc w:val="both"/>
        <w:rPr>
          <w:rFonts w:hint="eastAsia"/>
          <w:lang w:val="it-IT"/>
        </w:rPr>
      </w:pPr>
      <w:r>
        <w:rPr>
          <w:rFonts w:ascii="Times New Roman" w:hAnsi="Times New Roman"/>
          <w:lang w:val="it-IT"/>
        </w:rPr>
        <w:t>Casi pratici di accesso alle agevolazioni</w:t>
      </w:r>
    </w:p>
    <w:p w14:paraId="3F8248F9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u w:val="single"/>
          <w:lang w:val="it-IT"/>
        </w:rPr>
      </w:pPr>
    </w:p>
    <w:p w14:paraId="04364EEE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u w:val="single"/>
          <w:lang w:val="it-IT"/>
        </w:rPr>
      </w:pPr>
      <w:r>
        <w:rPr>
          <w:rFonts w:ascii="Times New Roman" w:hAnsi="Times New Roman"/>
          <w:b/>
          <w:bCs/>
          <w:u w:val="single"/>
          <w:lang w:val="it-IT"/>
        </w:rPr>
        <w:t xml:space="preserve">4. ACCESSO AL CREDITO </w:t>
      </w:r>
    </w:p>
    <w:p w14:paraId="327EA51A" w14:textId="77777777" w:rsidR="00FA1C10" w:rsidRDefault="00000000">
      <w:pPr>
        <w:pStyle w:val="Standard"/>
        <w:numPr>
          <w:ilvl w:val="0"/>
          <w:numId w:val="9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Principi generali</w:t>
      </w:r>
    </w:p>
    <w:p w14:paraId="3F90A977" w14:textId="77777777" w:rsidR="00FA1C10" w:rsidRDefault="00000000">
      <w:pPr>
        <w:pStyle w:val="Standard"/>
        <w:numPr>
          <w:ilvl w:val="0"/>
          <w:numId w:val="9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Casi pratici con esempi di perizie e procedure per accesso al credito riferite a:</w:t>
      </w:r>
    </w:p>
    <w:p w14:paraId="2BC21DF6" w14:textId="77777777" w:rsidR="00FA1C10" w:rsidRDefault="00000000">
      <w:pPr>
        <w:pStyle w:val="Standard"/>
        <w:numPr>
          <w:ilvl w:val="1"/>
          <w:numId w:val="9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Finanziamento per acquisto di fondo rustico</w:t>
      </w:r>
    </w:p>
    <w:p w14:paraId="51043724" w14:textId="77777777" w:rsidR="00FA1C10" w:rsidRDefault="00000000">
      <w:pPr>
        <w:pStyle w:val="Standard"/>
        <w:numPr>
          <w:ilvl w:val="1"/>
          <w:numId w:val="9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Finanziamenti per impianti arborei (frutteto/vigneto)</w:t>
      </w:r>
    </w:p>
    <w:p w14:paraId="29C43293" w14:textId="77777777" w:rsidR="00FA1C10" w:rsidRDefault="00000000">
      <w:pPr>
        <w:pStyle w:val="Standard"/>
        <w:numPr>
          <w:ilvl w:val="1"/>
          <w:numId w:val="9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Finanziamento per investimenti supportati da misure del Piano di Sviluppo Rurale</w:t>
      </w:r>
    </w:p>
    <w:p w14:paraId="66D50AB7" w14:textId="77777777" w:rsidR="00FA1C10" w:rsidRDefault="00FA1C1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</w:p>
    <w:p w14:paraId="1608FC1A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u w:val="single"/>
          <w:lang w:val="it-IT"/>
        </w:rPr>
      </w:pPr>
      <w:r>
        <w:rPr>
          <w:rFonts w:ascii="Times New Roman" w:hAnsi="Times New Roman"/>
          <w:b/>
          <w:bCs/>
          <w:u w:val="single"/>
          <w:lang w:val="it-IT"/>
        </w:rPr>
        <w:t xml:space="preserve">5. TEMATICHE INTEGRATIVE </w:t>
      </w:r>
    </w:p>
    <w:p w14:paraId="71BC4151" w14:textId="77777777" w:rsidR="00FA1C10" w:rsidRDefault="00000000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 Catasto</w:t>
      </w:r>
    </w:p>
    <w:p w14:paraId="5E22B264" w14:textId="77777777" w:rsidR="00FA1C10" w:rsidRDefault="00000000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 Codice Deontologico</w:t>
      </w:r>
    </w:p>
    <w:p w14:paraId="74228ACE" w14:textId="77777777" w:rsidR="00FA1C10" w:rsidRDefault="00000000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La Previdenza degli agronomi</w:t>
      </w:r>
    </w:p>
    <w:p w14:paraId="6C33F0ED" w14:textId="77777777" w:rsidR="00FA1C10" w:rsidRDefault="00000000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La gestione di uno studio associato</w:t>
      </w:r>
    </w:p>
    <w:p w14:paraId="1FAEAA1D" w14:textId="77777777" w:rsidR="00FA1C10" w:rsidRDefault="00000000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 fotovoltaico agricolo</w:t>
      </w:r>
    </w:p>
    <w:p w14:paraId="0AC0D150" w14:textId="77777777" w:rsidR="00FA1C10" w:rsidRDefault="00FA1C10">
      <w:pPr>
        <w:pStyle w:val="Standard"/>
        <w:jc w:val="both"/>
        <w:rPr>
          <w:rFonts w:ascii="Times New Roman" w:hAnsi="Times New Roman"/>
          <w:lang w:val="it-IT"/>
        </w:rPr>
      </w:pPr>
    </w:p>
    <w:p w14:paraId="222A9513" w14:textId="77777777" w:rsidR="00FA1C10" w:rsidRDefault="00FA1C10">
      <w:pPr>
        <w:pStyle w:val="Standard"/>
        <w:jc w:val="both"/>
        <w:rPr>
          <w:rFonts w:ascii="Times New Roman" w:hAnsi="Times New Roman"/>
          <w:lang w:val="it-IT"/>
        </w:rPr>
      </w:pPr>
    </w:p>
    <w:p w14:paraId="56A5B76B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CALENDARIO </w:t>
      </w:r>
      <w:r>
        <w:rPr>
          <w:rFonts w:ascii="Times New Roman" w:hAnsi="Times New Roman"/>
          <w:b/>
          <w:bCs/>
          <w:u w:val="single"/>
          <w:lang w:val="it-IT"/>
        </w:rPr>
        <w:t>INDICATIVO</w:t>
      </w:r>
      <w:r>
        <w:rPr>
          <w:rFonts w:ascii="Times New Roman" w:hAnsi="Times New Roman"/>
          <w:b/>
          <w:bCs/>
          <w:lang w:val="it-IT"/>
        </w:rPr>
        <w:t xml:space="preserve"> DELLE LEZIONI </w:t>
      </w:r>
    </w:p>
    <w:p w14:paraId="2E7A6295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30 aprile 2025 </w:t>
      </w:r>
      <w:r>
        <w:rPr>
          <w:rFonts w:ascii="Times New Roman" w:hAnsi="Times New Roman"/>
          <w:b/>
          <w:bCs/>
          <w:lang w:val="it-IT"/>
        </w:rPr>
        <w:tab/>
        <w:t>14:30-18:30</w:t>
      </w:r>
      <w:r>
        <w:rPr>
          <w:rFonts w:ascii="Times New Roman" w:hAnsi="Times New Roman"/>
          <w:b/>
          <w:bCs/>
          <w:lang w:val="it-IT"/>
        </w:rPr>
        <w:tab/>
        <w:t>Aula E</w:t>
      </w:r>
    </w:p>
    <w:p w14:paraId="2824B862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7 maggio 2025 </w:t>
      </w:r>
      <w:r>
        <w:rPr>
          <w:rFonts w:ascii="Times New Roman" w:hAnsi="Times New Roman"/>
          <w:b/>
          <w:bCs/>
          <w:lang w:val="it-IT"/>
        </w:rPr>
        <w:tab/>
        <w:t>14:30-18:30</w:t>
      </w:r>
      <w:r>
        <w:rPr>
          <w:rFonts w:ascii="Times New Roman" w:hAnsi="Times New Roman"/>
          <w:b/>
          <w:bCs/>
          <w:lang w:val="it-IT"/>
        </w:rPr>
        <w:tab/>
        <w:t>Aula E</w:t>
      </w:r>
    </w:p>
    <w:p w14:paraId="23C261AB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14 maggio 2025 </w:t>
      </w:r>
      <w:r>
        <w:rPr>
          <w:rFonts w:ascii="Times New Roman" w:hAnsi="Times New Roman"/>
          <w:b/>
          <w:bCs/>
          <w:lang w:val="it-IT"/>
        </w:rPr>
        <w:tab/>
        <w:t>14:30-18:30</w:t>
      </w:r>
      <w:r>
        <w:rPr>
          <w:rFonts w:ascii="Times New Roman" w:hAnsi="Times New Roman"/>
          <w:b/>
          <w:bCs/>
          <w:lang w:val="it-IT"/>
        </w:rPr>
        <w:tab/>
        <w:t>Aula E</w:t>
      </w:r>
    </w:p>
    <w:p w14:paraId="73299D55" w14:textId="77777777" w:rsidR="00FA1C10" w:rsidRDefault="00000000">
      <w:pPr>
        <w:pStyle w:val="Standard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21 maggio 2025 </w:t>
      </w:r>
      <w:r>
        <w:rPr>
          <w:rFonts w:ascii="Times New Roman" w:hAnsi="Times New Roman"/>
          <w:b/>
          <w:bCs/>
          <w:lang w:val="it-IT"/>
        </w:rPr>
        <w:tab/>
        <w:t>14:30-18:30</w:t>
      </w:r>
      <w:r>
        <w:rPr>
          <w:rFonts w:ascii="Times New Roman" w:hAnsi="Times New Roman"/>
          <w:b/>
          <w:bCs/>
          <w:lang w:val="it-IT"/>
        </w:rPr>
        <w:tab/>
        <w:t>Aula E</w:t>
      </w:r>
    </w:p>
    <w:p w14:paraId="1E85B945" w14:textId="77777777" w:rsidR="00FA1C10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it-IT"/>
        </w:rPr>
        <w:t xml:space="preserve">28 maggio 2025 </w:t>
      </w:r>
      <w:r>
        <w:rPr>
          <w:rFonts w:ascii="Times New Roman" w:hAnsi="Times New Roman"/>
          <w:b/>
          <w:bCs/>
          <w:lang w:val="it-IT"/>
        </w:rPr>
        <w:tab/>
        <w:t>14:30-18:30</w:t>
      </w:r>
      <w:r>
        <w:rPr>
          <w:rFonts w:ascii="Times New Roman" w:hAnsi="Times New Roman"/>
          <w:b/>
          <w:bCs/>
          <w:lang w:val="it-IT"/>
        </w:rPr>
        <w:tab/>
        <w:t>Aula E</w:t>
      </w:r>
    </w:p>
    <w:p w14:paraId="0B215B6B" w14:textId="77777777" w:rsidR="00FA1C10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it-IT"/>
        </w:rPr>
        <w:t>04 giugno 2025</w:t>
      </w:r>
      <w:r>
        <w:rPr>
          <w:rFonts w:ascii="Times New Roman" w:hAnsi="Times New Roman"/>
          <w:b/>
          <w:bCs/>
          <w:lang w:val="it-IT"/>
        </w:rPr>
        <w:tab/>
        <w:t>14:30-18:30</w:t>
      </w:r>
      <w:r>
        <w:rPr>
          <w:rFonts w:ascii="Times New Roman" w:hAnsi="Times New Roman"/>
          <w:b/>
          <w:bCs/>
          <w:lang w:val="it-IT"/>
        </w:rPr>
        <w:tab/>
        <w:t>Aula E</w:t>
      </w:r>
    </w:p>
    <w:p w14:paraId="19BCD910" w14:textId="77777777" w:rsidR="00FA1C10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it-IT"/>
        </w:rPr>
        <w:t>07 giugno 2025</w:t>
      </w:r>
      <w:r>
        <w:rPr>
          <w:rFonts w:ascii="Times New Roman" w:hAnsi="Times New Roman"/>
          <w:b/>
          <w:bCs/>
          <w:lang w:val="it-IT"/>
        </w:rPr>
        <w:tab/>
        <w:t>09.00-12.00</w:t>
      </w:r>
      <w:r>
        <w:rPr>
          <w:rFonts w:ascii="Times New Roman" w:hAnsi="Times New Roman"/>
          <w:b/>
          <w:bCs/>
          <w:lang w:val="it-IT"/>
        </w:rPr>
        <w:tab/>
        <w:t>Aula E</w:t>
      </w:r>
    </w:p>
    <w:sectPr w:rsidR="00FA1C10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altName w:val="Arial Unicode MS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762"/>
    <w:multiLevelType w:val="multilevel"/>
    <w:tmpl w:val="4AB8F8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8247ED"/>
    <w:multiLevelType w:val="multilevel"/>
    <w:tmpl w:val="1EDE7C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863D85"/>
    <w:multiLevelType w:val="multilevel"/>
    <w:tmpl w:val="D180CA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02F77"/>
    <w:multiLevelType w:val="multilevel"/>
    <w:tmpl w:val="5AFCF5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8402E2"/>
    <w:multiLevelType w:val="multilevel"/>
    <w:tmpl w:val="96BC4C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02735E"/>
    <w:multiLevelType w:val="multilevel"/>
    <w:tmpl w:val="5852CC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B47E15"/>
    <w:multiLevelType w:val="multilevel"/>
    <w:tmpl w:val="73A284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7A118E"/>
    <w:multiLevelType w:val="multilevel"/>
    <w:tmpl w:val="5D3C1E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0E4125"/>
    <w:multiLevelType w:val="multilevel"/>
    <w:tmpl w:val="CF8A6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444756"/>
    <w:multiLevelType w:val="multilevel"/>
    <w:tmpl w:val="CDD85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5A2234"/>
    <w:multiLevelType w:val="multilevel"/>
    <w:tmpl w:val="C13A57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0882428">
    <w:abstractNumId w:val="1"/>
  </w:num>
  <w:num w:numId="2" w16cid:durableId="45489572">
    <w:abstractNumId w:val="5"/>
  </w:num>
  <w:num w:numId="3" w16cid:durableId="743063459">
    <w:abstractNumId w:val="8"/>
  </w:num>
  <w:num w:numId="4" w16cid:durableId="725490380">
    <w:abstractNumId w:val="7"/>
  </w:num>
  <w:num w:numId="5" w16cid:durableId="1173884068">
    <w:abstractNumId w:val="4"/>
  </w:num>
  <w:num w:numId="6" w16cid:durableId="585847709">
    <w:abstractNumId w:val="6"/>
  </w:num>
  <w:num w:numId="7" w16cid:durableId="925723195">
    <w:abstractNumId w:val="2"/>
  </w:num>
  <w:num w:numId="8" w16cid:durableId="1713380972">
    <w:abstractNumId w:val="10"/>
  </w:num>
  <w:num w:numId="9" w16cid:durableId="1359352321">
    <w:abstractNumId w:val="3"/>
  </w:num>
  <w:num w:numId="10" w16cid:durableId="549991">
    <w:abstractNumId w:val="0"/>
  </w:num>
  <w:num w:numId="11" w16cid:durableId="1101486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10"/>
    <w:rsid w:val="003F1BFD"/>
    <w:rsid w:val="006B4DA2"/>
    <w:rsid w:val="00F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E115E2"/>
  <w15:docId w15:val="{0F6CB371-FB13-5940-ADAD-14B0E61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FRANCESCO SOLFANELLI</cp:lastModifiedBy>
  <cp:revision>29</cp:revision>
  <dcterms:created xsi:type="dcterms:W3CDTF">2023-01-18T16:03:00Z</dcterms:created>
  <dcterms:modified xsi:type="dcterms:W3CDTF">2025-05-07T19:23:00Z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